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rFonts w:ascii="Arial" w:cs="Arial" w:eastAsia="Arial" w:hAnsi="Arial"/>
          <w:b/>
          <w:bCs/>
          <w:color w:val="2C2A29"/>
          <w:sz w:val="30"/>
          <w:szCs w:val="30"/>
        </w:rPr>
        <w:t xml:space="preserve">Quarterly Risk Briefing — [Organization]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color w:val="8A857C"/>
          <w:sz w:val="17"/>
          <w:szCs w:val="17"/>
        </w:rPr>
        <w:t xml:space="preserve">[Quarter / Date]  ·  Prepared by: [Name, Role]  ·  Time required: 15 minutes</w:t>
      </w:r>
    </w:p>
    <w:p>
      <w:pPr>
        <w:pStyle w:val="Heading2"/>
        <w:spacing w:after="80" w:before="220"/>
      </w:pPr>
      <w:r>
        <w:rPr>
          <w:rFonts w:ascii="Arial" w:cs="Arial" w:eastAsia="Arial" w:hAnsi="Arial"/>
          <w:b/>
          <w:bCs/>
          <w:color w:val="D4893F"/>
          <w:sz w:val="22"/>
          <w:szCs w:val="22"/>
        </w:rPr>
        <w:t xml:space="preserve">1. Decisions needed today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8A857C"/>
          <w:sz w:val="17"/>
          <w:szCs w:val="17"/>
        </w:rPr>
        <w:t xml:space="preserve">Nothing in this section is informational. Each line requires a yes, a no, or a date.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120"/>
        <w:gridCol w:w="2120"/>
        <w:gridCol w:w="212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Decision requested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Cost to act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Cost of inaction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Recommendation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[Approve MFA enforcement for all staff, including exceptions previously granted]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[$0 — licensed; 2 weeks effort]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[Breach via phished password; insurer may deny claim]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[Approve, effective MM/DD]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[Example: Accept risk R-08 (legacy app, no MFA) until replacement]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[—]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[Documented on register]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[Accept until Q1, review at renewal]</w:t>
            </w:r>
          </w:p>
        </w:tc>
      </w:tr>
    </w:tbl>
    <w:p>
      <w:pPr>
        <w:pStyle w:val="Heading2"/>
        <w:spacing w:after="80" w:before="220"/>
      </w:pPr>
      <w:r>
        <w:rPr>
          <w:rFonts w:ascii="Arial" w:cs="Arial" w:eastAsia="Arial" w:hAnsi="Arial"/>
          <w:b/>
          <w:bCs/>
          <w:color w:val="D4893F"/>
          <w:sz w:val="22"/>
          <w:szCs w:val="22"/>
        </w:rPr>
        <w:t xml:space="preserve">2. Top risks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1300"/>
        <w:gridCol w:w="1560"/>
        <w:gridCol w:w="1300"/>
        <w:gridCol w:w="1400"/>
      </w:tblGrid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Risk (plain language)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Score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Trend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Status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Owner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[Ransomware via phished credentials — would halt operations ~1 week]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[High 6]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[Improving]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[MFA rollout 70% done]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[IT Mgr]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[Departed-employee accounts left active]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[Med 4]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[Improving]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[Same-day disable process live; quarterly audit next]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[IT Mgr]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[Key person dependency — single IT admin]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[High 6]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[Flat]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[Runbooks in progress; decision on deputy pending]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[CEO]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[Backups never restore-tested]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[Med 4]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[Improving]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[First test scheduled MM/DD]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[IT Mgr]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[Payment fraud via email compromise]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[Med 4]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[Flat]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[Dual approval live; DMARC at quarantine]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[CFO]</w:t>
            </w:r>
          </w:p>
        </w:tc>
      </w:tr>
    </w:tbl>
    <w:p>
      <w:pPr>
        <w:spacing w:after="160"/>
      </w:pPr>
      <w:r>
        <w:rPr>
          <w:rFonts w:ascii="Arial" w:cs="Arial" w:eastAsia="Arial" w:hAnsi="Arial"/>
          <w:b w:val="false"/>
          <w:bCs w:val="false"/>
          <w:color w:val="8A857C"/>
          <w:sz w:val="17"/>
          <w:szCs w:val="17"/>
        </w:rPr>
        <w:t xml:space="preserve">Red/High means a decision is needed in this meeting — not “important.” If nothing needs a decision, nothing is red.</w:t>
      </w:r>
    </w:p>
    <w:p>
      <w:pPr>
        <w:pStyle w:val="Heading2"/>
        <w:spacing w:after="80" w:before="220"/>
      </w:pPr>
      <w:r>
        <w:rPr>
          <w:rFonts w:ascii="Arial" w:cs="Arial" w:eastAsia="Arial" w:hAnsi="Arial"/>
          <w:b/>
          <w:bCs/>
          <w:color w:val="D4893F"/>
          <w:sz w:val="22"/>
          <w:szCs w:val="22"/>
        </w:rPr>
        <w:t xml:space="preserve">3. Changes since last briefing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5C5852"/>
          <w:sz w:val="18"/>
          <w:szCs w:val="18"/>
        </w:rPr>
        <w:t xml:space="preserve">[New risk: …]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5C5852"/>
          <w:sz w:val="18"/>
          <w:szCs w:val="18"/>
        </w:rPr>
        <w:t xml:space="preserve">[Closed: … — what closed it and what it cost]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5C5852"/>
          <w:sz w:val="18"/>
          <w:szCs w:val="18"/>
        </w:rPr>
        <w:t xml:space="preserve">[Near miss: … — what almost happened, what stopped it, what we changed]</w:t>
      </w:r>
    </w:p>
    <w:p>
      <w:pPr>
        <w:pStyle w:val="Heading2"/>
        <w:spacing w:after="80" w:before="220"/>
      </w:pPr>
      <w:r>
        <w:rPr>
          <w:rFonts w:ascii="Arial" w:cs="Arial" w:eastAsia="Arial" w:hAnsi="Arial"/>
          <w:b/>
          <w:bCs/>
          <w:color w:val="D4893F"/>
          <w:sz w:val="22"/>
          <w:szCs w:val="22"/>
        </w:rPr>
        <w:t xml:space="preserve">4. One metric that matters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5C5852"/>
          <w:sz w:val="18"/>
          <w:szCs w:val="18"/>
        </w:rPr>
        <w:t xml:space="preserve">[Example: % of accounts with MFA enforced — 70%, up from 40% last quarter. Target: 100% by MM/DD.]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color w:val="8A857C"/>
          <w:sz w:val="17"/>
          <w:szCs w:val="17"/>
        </w:rPr>
        <w:t xml:space="preserve">One trend, tracked every briefing. Resist adding a dashboard.</w:t>
      </w:r>
    </w:p>
    <w:p>
      <w:pPr>
        <w:pStyle w:val="Heading2"/>
        <w:spacing w:after="80" w:before="220"/>
      </w:pPr>
      <w:r>
        <w:rPr>
          <w:rFonts w:ascii="Arial" w:cs="Arial" w:eastAsia="Arial" w:hAnsi="Arial"/>
          <w:b/>
          <w:bCs/>
          <w:color w:val="D4893F"/>
          <w:sz w:val="22"/>
          <w:szCs w:val="22"/>
        </w:rPr>
        <w:t xml:space="preserve">5. Decisions recorded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360"/>
        <w:gridCol w:w="2500"/>
      </w:tblGrid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Date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Decision (including risk acceptances, by name)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Decision maker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[MM/DD]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[We are choosing to accept risk R-08 until the application is replaced, review at contract renewal]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[COO]</w:t>
            </w:r>
          </w:p>
        </w:tc>
      </w:tr>
    </w:tbl>
    <w:p>
      <w:r>
        <w:br w:type="page"/>
      </w:r>
    </w:p>
    <w:p>
      <w:pPr>
        <w:pStyle w:val="Heading1"/>
        <w:spacing w:after="120"/>
      </w:pPr>
      <w:r>
        <w:rPr>
          <w:rFonts w:ascii="Arial" w:cs="Arial" w:eastAsia="Arial" w:hAnsi="Arial"/>
          <w:b/>
          <w:bCs/>
          <w:color w:val="2C2A29"/>
          <w:sz w:val="26"/>
          <w:szCs w:val="26"/>
        </w:rPr>
        <w:t xml:space="preserve">How to use this template (delete this page)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9"/>
          <w:szCs w:val="19"/>
        </w:rPr>
        <w:t xml:space="preserve">This briefing is designed for a standing 15-minute quarterly slot with leadership. Frequency beats depth: a short, regular rhythm makes risk a normal management topic and builds a paper trail of informed decisions.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C2A29"/>
          <w:sz w:val="19"/>
          <w:szCs w:val="19"/>
        </w:rPr>
        <w:t xml:space="preserve">Rules that make it work: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Lead with decisions, not findings. Executives act on framed choices. Every decision request carries three numbers: cost to act, cost of inaction, and your one-sentence recommendation.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Use calendar language for likelihood (“expect this once every 2–3 years”), and operational language for impact (“shipping stops for a week”). Never present a matrix and hope.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Reserve red for “decision needed in this meeting.” If everything is red, leadership learns red means normal — and you lose your only alarm.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Record risk acceptances verbatim: “We are choosing to accept [risk] until [date], and [name] owns that decision.” This single sentence transfers ownership to the business, satisfies auditors and insurers, and prevents acceptance from quietly becoming neglect.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Keep section 4 to exactly one metric. The discipline is the message: you measure what matters and you know what matters.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Fill section 5 during the meeting, read it back aloud, and circulate the page afterward. That read-back is your governance program.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8A857C"/>
          <w:sz w:val="17"/>
          <w:szCs w:val="17"/>
        </w:rPr>
        <w:t xml:space="preserve">Pairs with the Risk Register template at allaboutrisk.info — section 2 should be the top rows of the register, translated into plain language.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color w:val="8A857C"/>
          <w:sz w:val="15"/>
          <w:szCs w:val="15"/>
        </w:rPr>
        <w:t xml:space="preserve">Leadership Risk Briefing v1.0 — June 2026 — allaboutrisk.info/templates — free under CC BY 4.0. This file contains no macros; if a copy asks you to enable anything, it did not come from allaboutrisk.info.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2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Risk Briefing — AllAboutRisk.info</dc:title>
  <dc:creator>AllAboutRisk.info</dc:creator>
  <cp:lastModifiedBy>AllAboutRisk.info</cp:lastModifiedBy>
  <cp:revision>1</cp:revision>
  <dcterms:created xsi:type="dcterms:W3CDTF">2026-06-11T17:42:11.041Z</dcterms:created>
  <dcterms:modified xsi:type="dcterms:W3CDTF">2026-06-11T17:42:11.042Z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