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rFonts w:ascii="Arial" w:cs="Arial" w:eastAsia="Arial" w:hAnsi="Arial"/>
          <w:b/>
          <w:bCs/>
          <w:color w:val="2C2A29"/>
          <w:sz w:val="28"/>
          <w:szCs w:val="28"/>
        </w:rPr>
        <w:t xml:space="preserve">SMB Policy Starter Set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color w:val="8A857C"/>
          <w:sz w:val="18"/>
          <w:szCs w:val="18"/>
        </w:rPr>
        <w:t xml:space="preserve">Acceptable Use · Access Control · Incident Response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Three core policies, deliberately short. From allaboutrisk.info — free to use and adapt.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How to use this set (delete this page when done)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Replace every [bracket]. If a statement doesn't match how you actually operate, change the statement or change the operation — never leave a policy that documents fiction. Auditors forgive modest policies; they punish unenforced ones.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Keep each policy under two pages. Length is where policies go to die: nobody reads page seven, and what nobody reads, nobody follows.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Each policy needs an executive approver, by name and date. A policy without leadership's signature is IT's opinion.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Review annually — the version table at the top of each policy is your audit evidence that review happens. Set the calendar reminder now.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These three cover what insurers, customer questionnaires, and IG1-level assessments most often ask for first. Add others (remote work, vendor management, data retention) only when something specific demands them.</w:t>
      </w:r>
    </w:p>
    <w:p>
      <w:pPr>
        <w:pStyle w:val="Heading1"/>
        <w:pageBreakBefore/>
        <w:spacing w:after="60"/>
      </w:pPr>
      <w:r>
        <w:rPr>
          <w:rFonts w:ascii="Arial" w:cs="Arial" w:eastAsia="Arial" w:hAnsi="Arial"/>
          <w:b/>
          <w:bCs/>
          <w:color w:val="2C2A29"/>
          <w:sz w:val="28"/>
          <w:szCs w:val="28"/>
        </w:rPr>
        <w:t xml:space="preserve">Acceptable Use 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Version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Owner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Next review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[1.0 — MM/DD/YYYY]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[Role, not name]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[Executive name, date]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[Date — annual]</w:t>
            </w:r>
          </w:p>
        </w:tc>
      </w:tr>
    </w:tbl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Purpose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To set clear, fair expectations for using [Organization]'s systems, accounts, and data, so that one person's convenience doesn't become everyone's incident.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Scope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All employees, contractors, and temporary staff using company systems, accounts, or data, on any device, anywhere.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Policy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Company accounts and systems are for business use. Reasonable personal use is acceptable where it is legal, doesn't interfere with work, and creates no cost or risk for the organization.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Credentials are individual. Never share passwords or MFA codes with anyone — including IT, who will never ask for them.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Use only approved applications and services for company data. If a tool you need isn't approved, ask [IT contact] — the answer is usually yes within a week, and asking is what keeps our data inventory honest.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Company data lives in company systems. Do not move it to personal email, personal cloud storage, or personal devices except as expressly approved under [remote work / BYOD arrangement].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Lock your screen when away. Report lost or stolen devices to [contact] immediately — within hours, not days. Fast reporting is praised, never punished.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If something looks suspicious — an odd email, an unexpected MFA prompt, a strange file — report it to [contact]. False alarms are welcome; they mean the system works.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Do not attempt to disable, bypass, or test security controls. (If a control is genuinely blocking your work, report it — that's a fixable problem.)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Enforcement and exceptions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Violations are handled through [normal disciplinary process], proportionate to intent and impact. Exceptions require written approval from [role] and are recorded with an expiry date.</w:t>
      </w:r>
    </w:p>
    <w:p>
      <w:pPr>
        <w:pStyle w:val="Heading1"/>
        <w:pageBreakBefore/>
        <w:spacing w:after="60"/>
      </w:pPr>
      <w:r>
        <w:rPr>
          <w:rFonts w:ascii="Arial" w:cs="Arial" w:eastAsia="Arial" w:hAnsi="Arial"/>
          <w:b/>
          <w:bCs/>
          <w:color w:val="2C2A29"/>
          <w:sz w:val="28"/>
          <w:szCs w:val="28"/>
        </w:rPr>
        <w:t xml:space="preserve">Access Control 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Version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Owner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Next review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[1.0 — MM/DD/YYYY]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[Role, not name]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[Executive name, date]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[Date — annual]</w:t>
            </w:r>
          </w:p>
        </w:tc>
      </w:tr>
    </w:tbl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Purpose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To make sure access to systems and data is granted deliberately, removed promptly, and reviewed regularly — so a single compromised account costs as little as possible.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Scope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All accounts on all systems holding company data, including cloud and SaaS services.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Policy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Access follows need. Permissions are granted for the role's requirements, not seniority or convenience, and default to the minimum that does the job.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All access requests go through [process — e.g., ticket or form] and are approved by the data or system owner, not solely by IT.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Multi-factor authentication is required on all accounts that can be reached from the internet, and on all administrative accounts without exception.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Administrative work uses dedicated admin accounts, separate from the account used for email and browsing. Global/full administrator roles are held by no more than [2–4] named individuals.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When someone leaves, their access is disabled the same business day, triggered by [HR notification process]. Role changes trigger an access update within [5 business days].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Accounts unused for [45] days are disabled. Shared accounts are prohibited except where a system cannot support individual logins — those exceptions are documented, vaulted, and reviewed.</w:t>
      </w:r>
    </w:p>
    <w:p>
      <w:pPr>
        <w:pStyle w:val="ListParagraph"/>
        <w:numPr>
          <w:ilvl w:val="0"/>
          <w:numId w:val="4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All access is reviewed [quarterly]: account list against staff roster, admin role membership, and third-party/vendor access. The review is dated and kept as evidence.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Enforcement and exceptions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Exceptions require written approval from [role], a documented reason, and an expiry date. Undocumented exceptions are findings, not precedents.</w:t>
      </w:r>
    </w:p>
    <w:p>
      <w:pPr>
        <w:pStyle w:val="Heading1"/>
        <w:pageBreakBefore/>
        <w:spacing w:after="60"/>
      </w:pPr>
      <w:r>
        <w:rPr>
          <w:rFonts w:ascii="Arial" w:cs="Arial" w:eastAsia="Arial" w:hAnsi="Arial"/>
          <w:b/>
          <w:bCs/>
          <w:color w:val="2C2A29"/>
          <w:sz w:val="28"/>
          <w:szCs w:val="28"/>
        </w:rPr>
        <w:t xml:space="preserve">Incident Response 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Version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Owner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EBE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C2A29"/>
                <w:sz w:val="18"/>
                <w:szCs w:val="18"/>
              </w:rPr>
              <w:t xml:space="preserve">Next review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[1.0 — MM/DD/YYYY]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[Role, not name]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[Executive name, date]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5C5852"/>
                <w:sz w:val="18"/>
                <w:szCs w:val="18"/>
              </w:rPr>
              <w:t xml:space="preserve">[Date — annual]</w:t>
            </w:r>
          </w:p>
        </w:tc>
      </w:tr>
    </w:tbl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Purpose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To make sure a security incident is detected, reported, and handled quickly — by people who knew their roles before the day it happened.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Scope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Any suspected compromise of company systems, accounts, or data: phishing, malware, unauthorized access, lost devices, data exposure, fraud attempts.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Roles</w:t>
      </w:r>
    </w:p>
    <w:p>
      <w:pPr>
        <w:pStyle w:val="ListParagraph"/>
        <w:numPr>
          <w:ilvl w:val="0"/>
          <w:numId w:val="5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Incident Lead: [name/role]. Backup: [name/role]. The Lead directs the response, decides severity, and is the single source of status.</w:t>
      </w:r>
    </w:p>
    <w:p>
      <w:pPr>
        <w:pStyle w:val="ListParagraph"/>
        <w:numPr>
          <w:ilvl w:val="0"/>
          <w:numId w:val="5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[Executive role] approves emergency spending, external help, and any external communication. Legal/insurance notification decisions sit here, with counsel.</w:t>
      </w:r>
    </w:p>
    <w:p>
      <w:pPr>
        <w:pStyle w:val="ListParagraph"/>
        <w:numPr>
          <w:ilvl w:val="0"/>
          <w:numId w:val="5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Everyone else: report, then follow instructions. No independent investigation, no deleting anything, no talking outside the response team.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Process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Report: anyone who suspects an incident reports to [single channel — phone/email/chat] immediately. No-blame applies always: late reports are expensive reports.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Assess: the Incident Lead assigns severity. Severity 1 — operations stopped or sensitive data exposed: all hands, executives notified immediately. Severity 2 — contained threat with real risk: response within hours. Severity 3 — nuisance/no damage: handle in normal operations, log it.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Contain: isolate affected accounts and machines first; preserve evidence (don't wipe, don't reboot unless instructed); reset credentials from a known-good device.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Notify: for Severity 1, [executive role] and the Incident Lead decide on insurer notification (within policy deadlines — typically hours, check yours), legal counsel, and any regulatory or customer notice. The cyber insurer's hotline is often required to be the first call — verify your policy and write the number below.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Recover: restore from known-good backups in the documented order: [system priority list].</w:t>
      </w:r>
    </w:p>
    <w:p>
      <w:pPr>
        <w:pStyle w:val="ListParagraph"/>
        <w:numPr>
          <w:ilvl w:val="0"/>
          <w:numId w:val="6"/>
        </w:numPr>
        <w:spacing w:after="70"/>
      </w:pPr>
      <w:r>
        <w:rPr>
          <w:rFonts w:ascii="Arial" w:cs="Arial" w:eastAsia="Arial" w:hAnsi="Arial"/>
          <w:color w:val="2C2A29"/>
          <w:sz w:val="18"/>
          <w:szCs w:val="18"/>
        </w:rPr>
        <w:t xml:space="preserve">Learn: within [10] days, a short written review: what happened, what worked, what changes. Blame is out of scope; the register and this policy get updated instead.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Contacts (keep current — print a copy)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Incident Lead: [name, phone] · Backup: [name, phone] · Executive: [name, phone] · Cyber insurer hotline: [number, policy #] · IT provider/MSP: [contact] · Legal: [contact]</w:t>
      </w:r>
    </w:p>
    <w:p>
      <w:pPr>
        <w:pStyle w:val="Heading2"/>
        <w:spacing w:after="60" w:before="200"/>
      </w:pPr>
      <w:r>
        <w:rPr>
          <w:rFonts w:ascii="Arial" w:cs="Arial" w:eastAsia="Arial" w:hAnsi="Arial"/>
          <w:b/>
          <w:bCs/>
          <w:color w:val="D4893F"/>
          <w:sz w:val="21"/>
          <w:szCs w:val="21"/>
        </w:rPr>
        <w:t xml:space="preserve">Enforcement and review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color w:val="2C2A29"/>
          <w:sz w:val="18"/>
          <w:szCs w:val="18"/>
        </w:rPr>
        <w:t xml:space="preserve">This policy is walked through (tabletop, one hour) at least annually, and after any Severity 1 or 2 incident. The walkthrough date and notes are kept as evidence.</w:t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color w:val="8A857C"/>
          <w:sz w:val="15"/>
          <w:szCs w:val="15"/>
        </w:rPr>
        <w:t xml:space="preserve">SMB Policy Starter Set v1.0 — June 2026 — allaboutrisk.info/templates — free under CC BY 4.0. This file contains no macros; if a copy asks you to enable anything, it did not come from allaboutrisk.info.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0"/>
      <w:outlineLvl w:val="0"/>
    </w:pPr>
    <w:rPr>
      <w:rFonts w:ascii="Arial" w:cs="Arial" w:eastAsia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60" w:before="200"/>
      <w:outlineLvl w:val="1"/>
    </w:pPr>
    <w:rPr>
      <w:rFonts w:ascii="Arial" w:cs="Arial" w:eastAsia="Arial" w:hAnsi="Arial"/>
      <w:b/>
      <w:bCs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SMB Policy Starter Set — AllAboutRisk.info</dc:title>
  <dc:creator>AllAboutRisk.info</dc:creator>
  <cp:lastModifiedBy>AllAboutRisk.info</cp:lastModifiedBy>
  <cp:revision>1</cp:revision>
  <dcterms:created xsi:type="dcterms:W3CDTF">2026-06-11T17:42:11.143Z</dcterms:created>
  <dcterms:modified xsi:type="dcterms:W3CDTF">2026-06-11T17:42:11.143Z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